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5" w:rsidRDefault="007158B5" w:rsidP="007158B5">
      <w:pPr>
        <w:ind w:left="2160" w:firstLine="720"/>
        <w:jc w:val="both"/>
      </w:pPr>
      <w:r>
        <w:t>Universidad de Puerto Rico</w:t>
      </w:r>
    </w:p>
    <w:p w:rsidR="007158B5" w:rsidRDefault="007158B5" w:rsidP="007158B5">
      <w:pPr>
        <w:jc w:val="both"/>
      </w:pPr>
      <w:r>
        <w:tab/>
      </w:r>
      <w:r>
        <w:tab/>
      </w:r>
      <w:r>
        <w:tab/>
      </w:r>
      <w:r>
        <w:tab/>
        <w:t xml:space="preserve">   Recinto de Río Piedras</w:t>
      </w:r>
    </w:p>
    <w:p w:rsidR="007158B5" w:rsidRDefault="007158B5" w:rsidP="007158B5">
      <w:pPr>
        <w:jc w:val="both"/>
      </w:pPr>
      <w:r>
        <w:tab/>
      </w:r>
      <w:r>
        <w:tab/>
      </w:r>
      <w:r>
        <w:tab/>
      </w:r>
      <w:r>
        <w:tab/>
        <w:t xml:space="preserve"> Facultad de Humanidades</w:t>
      </w:r>
    </w:p>
    <w:p w:rsidR="007158B5" w:rsidRDefault="007158B5" w:rsidP="007158B5">
      <w:pPr>
        <w:jc w:val="both"/>
      </w:pPr>
      <w:r>
        <w:tab/>
      </w:r>
      <w:r>
        <w:tab/>
      </w:r>
      <w:r>
        <w:tab/>
      </w:r>
      <w:r>
        <w:tab/>
        <w:t xml:space="preserve">  Departamento de Drama</w:t>
      </w:r>
    </w:p>
    <w:p w:rsidR="007158B5" w:rsidRDefault="007158B5" w:rsidP="007158B5">
      <w:pPr>
        <w:jc w:val="both"/>
      </w:pPr>
      <w:proofErr w:type="spellStart"/>
      <w:r>
        <w:t>Teat</w:t>
      </w:r>
      <w:proofErr w:type="spellEnd"/>
      <w:r>
        <w:t xml:space="preserve"> 3101 Sec. 2 MJ</w:t>
      </w:r>
      <w:r>
        <w:t xml:space="preserve"> 2:30-3:50</w:t>
      </w:r>
      <w:r>
        <w:tab/>
      </w:r>
      <w:r>
        <w:tab/>
      </w:r>
      <w:r>
        <w:tab/>
      </w:r>
      <w:r>
        <w:tab/>
        <w:t>Prof. José Luis Ramos Escobar</w:t>
      </w:r>
    </w:p>
    <w:p w:rsidR="007158B5" w:rsidRDefault="007158B5" w:rsidP="007158B5">
      <w:pPr>
        <w:jc w:val="both"/>
      </w:pPr>
      <w:r>
        <w:t>Historia del teatro I</w:t>
      </w:r>
      <w:r>
        <w:tab/>
      </w:r>
      <w:r>
        <w:tab/>
      </w:r>
      <w:r>
        <w:tab/>
      </w:r>
      <w:r>
        <w:tab/>
      </w:r>
      <w:r>
        <w:tab/>
      </w:r>
      <w:r>
        <w:tab/>
        <w:t>jose.ramos29@upr.edu</w:t>
      </w:r>
    </w:p>
    <w:p w:rsidR="007158B5" w:rsidRPr="007158B5" w:rsidRDefault="007158B5" w:rsidP="007158B5">
      <w:pPr>
        <w:ind w:left="5040" w:firstLine="720"/>
        <w:jc w:val="both"/>
      </w:pPr>
      <w:r w:rsidRPr="007158B5">
        <w:t>Ext. 89449</w:t>
      </w:r>
    </w:p>
    <w:p w:rsidR="007158B5" w:rsidRDefault="007158B5" w:rsidP="007158B5">
      <w:pPr>
        <w:jc w:val="both"/>
      </w:pPr>
      <w:r>
        <w:t xml:space="preserve">Descripción: </w:t>
      </w:r>
    </w:p>
    <w:p w:rsidR="007158B5" w:rsidRDefault="007158B5" w:rsidP="007158B5">
      <w:pPr>
        <w:ind w:left="720"/>
      </w:pPr>
      <w:r>
        <w:t xml:space="preserve">Estudio de la literatura dramática y de las formas teatrales de escenificación desde los orígenes hasta el Renacimiento. Lectura y análisis de obras dramáticas representativas de los diferentes períodos. </w:t>
      </w:r>
    </w:p>
    <w:p w:rsidR="007158B5" w:rsidRDefault="007158B5" w:rsidP="007158B5">
      <w:r>
        <w:t xml:space="preserve">Texto: </w:t>
      </w:r>
      <w:r>
        <w:rPr>
          <w:b/>
        </w:rPr>
        <w:t>Historia básica del arte escénico</w:t>
      </w:r>
      <w:r>
        <w:t xml:space="preserve">, César Oliva- Francisco Torres Monreal. Madrid:  </w:t>
      </w:r>
      <w:r>
        <w:tab/>
        <w:t>Cátedra, 1999</w:t>
      </w:r>
    </w:p>
    <w:p w:rsidR="007158B5" w:rsidRDefault="007158B5" w:rsidP="007158B5"/>
    <w:p w:rsidR="007158B5" w:rsidRDefault="007158B5" w:rsidP="007158B5">
      <w:r>
        <w:tab/>
      </w:r>
      <w:r>
        <w:tab/>
      </w:r>
      <w:r>
        <w:tab/>
        <w:t>Programa de trabajo</w:t>
      </w:r>
    </w:p>
    <w:p w:rsidR="007158B5" w:rsidRDefault="007158B5" w:rsidP="007158B5"/>
    <w:p w:rsidR="007158B5" w:rsidRDefault="007158B5" w:rsidP="007158B5">
      <w:r>
        <w:t>Enero</w:t>
      </w:r>
      <w:r>
        <w:tab/>
      </w:r>
      <w:r>
        <w:tab/>
        <w:t>15</w:t>
      </w:r>
      <w:r>
        <w:tab/>
        <w:t>Introducción</w:t>
      </w:r>
    </w:p>
    <w:p w:rsidR="007158B5" w:rsidRDefault="007158B5" w:rsidP="007158B5">
      <w:r>
        <w:tab/>
      </w:r>
      <w:r>
        <w:tab/>
        <w:t>17</w:t>
      </w:r>
      <w:r>
        <w:tab/>
        <w:t>Orígenes del teatro – Cap. I  pp. 11-23</w:t>
      </w:r>
    </w:p>
    <w:p w:rsidR="007158B5" w:rsidRDefault="007158B5" w:rsidP="007158B5">
      <w:r>
        <w:tab/>
      </w:r>
      <w:r>
        <w:tab/>
        <w:t>22-24</w:t>
      </w:r>
      <w:r>
        <w:tab/>
        <w:t>El teatro en Grecia – Cap. II  pp. 27-53</w:t>
      </w:r>
    </w:p>
    <w:p w:rsidR="007158B5" w:rsidRDefault="007158B5" w:rsidP="007158B5">
      <w:pPr>
        <w:rPr>
          <w:b/>
        </w:rPr>
      </w:pPr>
      <w:r>
        <w:tab/>
      </w:r>
      <w:r>
        <w:tab/>
        <w:t>29-31</w:t>
      </w:r>
      <w:r>
        <w:tab/>
        <w:t xml:space="preserve">Esquilo- </w:t>
      </w:r>
      <w:r>
        <w:rPr>
          <w:b/>
        </w:rPr>
        <w:t>Los siete contra Tebas</w:t>
      </w:r>
    </w:p>
    <w:p w:rsidR="007158B5" w:rsidRDefault="007158B5" w:rsidP="007158B5">
      <w:pPr>
        <w:rPr>
          <w:b/>
        </w:rPr>
      </w:pPr>
      <w:r>
        <w:t>Febrero</w:t>
      </w:r>
      <w:r>
        <w:tab/>
        <w:t>5-7</w:t>
      </w:r>
      <w:r>
        <w:tab/>
        <w:t>Sófocles</w:t>
      </w:r>
      <w:r>
        <w:rPr>
          <w:b/>
        </w:rPr>
        <w:t>- Antígona</w:t>
      </w:r>
    </w:p>
    <w:p w:rsidR="007158B5" w:rsidRDefault="007158B5" w:rsidP="007158B5">
      <w:pPr>
        <w:ind w:left="720" w:firstLine="720"/>
        <w:rPr>
          <w:b/>
        </w:rPr>
      </w:pPr>
      <w:r>
        <w:t>12-14</w:t>
      </w:r>
      <w:r>
        <w:tab/>
        <w:t xml:space="preserve">Eurípides- </w:t>
      </w:r>
      <w:r>
        <w:rPr>
          <w:b/>
        </w:rPr>
        <w:t>Medea</w:t>
      </w:r>
    </w:p>
    <w:p w:rsidR="007158B5" w:rsidRDefault="007158B5" w:rsidP="007158B5">
      <w:pPr>
        <w:ind w:left="720" w:firstLine="720"/>
      </w:pPr>
      <w:r>
        <w:t>19</w:t>
      </w:r>
      <w:r>
        <w:tab/>
        <w:t>Examen</w:t>
      </w:r>
    </w:p>
    <w:p w:rsidR="007158B5" w:rsidRDefault="007158B5" w:rsidP="007158B5">
      <w:pPr>
        <w:rPr>
          <w:b/>
        </w:rPr>
      </w:pPr>
      <w:r>
        <w:tab/>
      </w:r>
      <w:r>
        <w:tab/>
        <w:t>21-26</w:t>
      </w:r>
      <w:r>
        <w:tab/>
        <w:t xml:space="preserve">Aristófanes- </w:t>
      </w:r>
      <w:proofErr w:type="spellStart"/>
      <w:r>
        <w:rPr>
          <w:b/>
        </w:rPr>
        <w:t>Lisistrata</w:t>
      </w:r>
      <w:proofErr w:type="spellEnd"/>
    </w:p>
    <w:p w:rsidR="007158B5" w:rsidRDefault="007158B5" w:rsidP="007158B5">
      <w:r>
        <w:tab/>
      </w:r>
      <w:r>
        <w:tab/>
        <w:t>28-5</w:t>
      </w:r>
      <w:r>
        <w:tab/>
        <w:t>El teatro en Roma – Cap. III  pp.55-72</w:t>
      </w:r>
    </w:p>
    <w:p w:rsidR="007158B5" w:rsidRDefault="007158B5" w:rsidP="007158B5">
      <w:r>
        <w:t>Marzo</w:t>
      </w:r>
      <w:r>
        <w:tab/>
      </w:r>
      <w:r>
        <w:tab/>
        <w:t>7-12</w:t>
      </w:r>
      <w:r>
        <w:tab/>
      </w:r>
      <w:proofErr w:type="spellStart"/>
      <w:r>
        <w:t>Plauto</w:t>
      </w:r>
      <w:proofErr w:type="spellEnd"/>
      <w:r>
        <w:t xml:space="preserve">: </w:t>
      </w:r>
      <w:r>
        <w:rPr>
          <w:b/>
        </w:rPr>
        <w:t xml:space="preserve">Los </w:t>
      </w:r>
      <w:proofErr w:type="spellStart"/>
      <w:r>
        <w:rPr>
          <w:b/>
        </w:rPr>
        <w:t>menecmos</w:t>
      </w:r>
      <w:proofErr w:type="spellEnd"/>
    </w:p>
    <w:p w:rsidR="007158B5" w:rsidRDefault="007158B5" w:rsidP="007158B5">
      <w:r>
        <w:tab/>
      </w:r>
      <w:r>
        <w:tab/>
        <w:t>14-19</w:t>
      </w:r>
      <w:r>
        <w:tab/>
        <w:t>El teatro en la Edad Media – Cap. IV  pp.77-104</w:t>
      </w:r>
    </w:p>
    <w:p w:rsidR="007158B5" w:rsidRDefault="007158B5" w:rsidP="007158B5">
      <w:pPr>
        <w:rPr>
          <w:b/>
        </w:rPr>
      </w:pPr>
      <w:r>
        <w:tab/>
      </w:r>
      <w:r>
        <w:tab/>
      </w:r>
      <w:r>
        <w:t>21-26</w:t>
      </w:r>
      <w:r>
        <w:tab/>
      </w:r>
      <w:r>
        <w:rPr>
          <w:b/>
        </w:rPr>
        <w:t>Cada Cual</w:t>
      </w:r>
    </w:p>
    <w:p w:rsidR="007158B5" w:rsidRDefault="007158B5" w:rsidP="007158B5">
      <w:r>
        <w:t>Abril</w:t>
      </w:r>
      <w:r>
        <w:tab/>
      </w:r>
      <w:r>
        <w:tab/>
        <w:t>28-2</w:t>
      </w:r>
      <w:r>
        <w:tab/>
      </w:r>
      <w:r>
        <w:rPr>
          <w:b/>
        </w:rPr>
        <w:t xml:space="preserve">Maese </w:t>
      </w:r>
      <w:proofErr w:type="spellStart"/>
      <w:r>
        <w:rPr>
          <w:b/>
        </w:rPr>
        <w:t>Pathelin</w:t>
      </w:r>
      <w:proofErr w:type="spellEnd"/>
    </w:p>
    <w:p w:rsidR="007158B5" w:rsidRDefault="007158B5" w:rsidP="007158B5">
      <w:r>
        <w:tab/>
      </w:r>
      <w:r>
        <w:tab/>
        <w:t>4</w:t>
      </w:r>
      <w:r>
        <w:tab/>
        <w:t>2do Examen</w:t>
      </w:r>
    </w:p>
    <w:p w:rsidR="007158B5" w:rsidRPr="007158B5" w:rsidRDefault="007158B5" w:rsidP="007158B5">
      <w:pPr>
        <w:rPr>
          <w:lang w:val="en-US"/>
        </w:rPr>
      </w:pPr>
      <w:r>
        <w:tab/>
      </w:r>
      <w:r>
        <w:tab/>
        <w:t>9-11</w:t>
      </w:r>
      <w:r>
        <w:tab/>
        <w:t xml:space="preserve">La renovación del teatro en el Renacimiento Cap. </w:t>
      </w:r>
      <w:r w:rsidRPr="007158B5">
        <w:rPr>
          <w:lang w:val="en-US"/>
        </w:rPr>
        <w:t>V  pp.109-120</w:t>
      </w:r>
    </w:p>
    <w:p w:rsidR="007158B5" w:rsidRPr="007158B5" w:rsidRDefault="007158B5" w:rsidP="007158B5">
      <w:pPr>
        <w:rPr>
          <w:lang w:val="en-US"/>
        </w:rPr>
      </w:pPr>
      <w:r w:rsidRPr="007158B5">
        <w:rPr>
          <w:lang w:val="en-US"/>
        </w:rPr>
        <w:tab/>
      </w:r>
      <w:r w:rsidRPr="007158B5">
        <w:rPr>
          <w:lang w:val="en-US"/>
        </w:rPr>
        <w:tab/>
      </w:r>
      <w:r w:rsidRPr="007158B5">
        <w:rPr>
          <w:lang w:val="en-US"/>
        </w:rPr>
        <w:tab/>
        <w:t>Cap. VI   pp. 123-137</w:t>
      </w:r>
    </w:p>
    <w:p w:rsidR="007158B5" w:rsidRDefault="007158B5" w:rsidP="007158B5">
      <w:r w:rsidRPr="007158B5">
        <w:rPr>
          <w:lang w:val="en-US"/>
        </w:rPr>
        <w:tab/>
      </w:r>
      <w:r w:rsidRPr="007158B5">
        <w:rPr>
          <w:lang w:val="en-US"/>
        </w:rPr>
        <w:tab/>
      </w:r>
      <w:r w:rsidRPr="007158B5">
        <w:rPr>
          <w:lang w:val="en-US"/>
        </w:rPr>
        <w:tab/>
      </w:r>
      <w:r>
        <w:t>El teatro español del Siglo de Oro Cap. VIII  pp. 165-215</w:t>
      </w:r>
    </w:p>
    <w:p w:rsidR="007158B5" w:rsidRDefault="007158B5" w:rsidP="007158B5">
      <w:pPr>
        <w:rPr>
          <w:b/>
        </w:rPr>
      </w:pPr>
      <w:r>
        <w:tab/>
      </w:r>
      <w:r>
        <w:tab/>
        <w:t>16-23</w:t>
      </w:r>
      <w:r>
        <w:tab/>
        <w:t>Lope de Vega</w:t>
      </w:r>
      <w:r>
        <w:rPr>
          <w:b/>
        </w:rPr>
        <w:t xml:space="preserve">- </w:t>
      </w:r>
      <w:proofErr w:type="spellStart"/>
      <w:r>
        <w:rPr>
          <w:b/>
        </w:rPr>
        <w:t>Peribañez</w:t>
      </w:r>
      <w:proofErr w:type="spellEnd"/>
    </w:p>
    <w:p w:rsidR="007158B5" w:rsidRDefault="007158B5" w:rsidP="007158B5">
      <w:r>
        <w:tab/>
      </w:r>
      <w:r>
        <w:tab/>
        <w:t>25</w:t>
      </w:r>
      <w:r>
        <w:tab/>
        <w:t>El teatro isabelino Cap. VII  pp.141-162</w:t>
      </w:r>
    </w:p>
    <w:p w:rsidR="007158B5" w:rsidRDefault="007158B5" w:rsidP="007158B5">
      <w:r>
        <w:t>Mayo</w:t>
      </w:r>
      <w:r>
        <w:tab/>
      </w:r>
      <w:r>
        <w:tab/>
        <w:t>30-2</w:t>
      </w:r>
      <w:r>
        <w:tab/>
        <w:t xml:space="preserve">Shakespeare- </w:t>
      </w:r>
      <w:r>
        <w:rPr>
          <w:b/>
        </w:rPr>
        <w:t>Macbeth</w:t>
      </w:r>
    </w:p>
    <w:p w:rsidR="007158B5" w:rsidRDefault="007158B5" w:rsidP="007158B5">
      <w:r>
        <w:tab/>
      </w:r>
      <w:r>
        <w:tab/>
        <w:t>7</w:t>
      </w:r>
      <w:bookmarkStart w:id="0" w:name="_GoBack"/>
      <w:bookmarkEnd w:id="0"/>
      <w:r>
        <w:tab/>
        <w:t>Examen</w:t>
      </w:r>
    </w:p>
    <w:p w:rsidR="007158B5" w:rsidRDefault="007158B5" w:rsidP="007158B5">
      <w:r>
        <w:t>La calificación final será el resultado de los tres exámenes, el informe oral y la clase diaria (asistencia y participación)</w:t>
      </w:r>
    </w:p>
    <w:p w:rsidR="007158B5" w:rsidRDefault="007158B5" w:rsidP="007158B5">
      <w:r>
        <w:t>Los estudiantes que reciban servicios de Rehabilitación Vocacional deben comunicarse con el profesor al inicio del semestre para planificar el acomodo razonable y equipo asistido necesario conforme a las recomendaciones de la oficina de asuntos para las Personas con Impedimento (OAPI) del Decanato de estudiantes. También aquellos estudiantes con necesidades especiales que requieren de algún tipo de asistencia o acomodo deben comunicarse con el profesor al inicio del semestre.</w:t>
      </w:r>
    </w:p>
    <w:p w:rsidR="007158B5" w:rsidRDefault="007158B5" w:rsidP="007158B5">
      <w:pPr>
        <w:jc w:val="both"/>
      </w:pPr>
      <w:r>
        <w:lastRenderedPageBreak/>
        <w:t>La UPR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la Procuraduría Estudiantil, el Decanato de Estudiantes o la Coordinadora de Cumplimiento con Título IX para orientación y/o presentar una queja.</w:t>
      </w:r>
    </w:p>
    <w:p w:rsidR="007158B5" w:rsidRDefault="007158B5" w:rsidP="007158B5"/>
    <w:p w:rsidR="00172079" w:rsidRDefault="00172079"/>
    <w:sectPr w:rsidR="0017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5"/>
    <w:rsid w:val="00172079"/>
    <w:rsid w:val="007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Ramos Escobar</dc:creator>
  <cp:lastModifiedBy>Jose L. Ramos Escobar</cp:lastModifiedBy>
  <cp:revision>1</cp:revision>
  <dcterms:created xsi:type="dcterms:W3CDTF">2019-01-10T17:41:00Z</dcterms:created>
  <dcterms:modified xsi:type="dcterms:W3CDTF">2019-01-10T17:47:00Z</dcterms:modified>
</cp:coreProperties>
</file>